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
        <w:rPr>
          <w:rFonts w:ascii="Georgia" w:hAnsi="Georgia"/>
          <w:b/>
          <w:color w:val="08272B"/>
          <w:sz w:val="40"/>
        </w:rPr>
        <w:t>SOCIAL WORK SUPERVISION AGREEMENT</w:t>
      </w:r>
    </w:p>
    <w:p>
      <w:r>
        <w:rPr>
          <w:rFonts w:ascii="Georgia" w:hAnsi="Georgia"/>
          <w:i/>
          <w:color w:val="1C6B58"/>
          <w:sz w:val="24"/>
        </w:rPr>
        <w:t>A template for Aotearoa New Zealand practice</w:t>
      </w:r>
    </w:p>
    <w:p>
      <w:r>
        <w:rPr>
          <w:color w:val="5C6F71"/>
          <w:sz w:val="19"/>
        </w:rPr>
        <w:t>This template is general guidance, not legal advice. Replace every square-bracket placeholder, delete any clause that does not apply, and have the agreement reviewed if the arrangement is unusual. It does not replace the Social Workers Registration Board's requirements, your professional code of conduct, or your employer's policy.</w:t>
      </w:r>
    </w:p>
    <w:p/>
    <w:p>
      <w:pPr>
        <w:pStyle w:val="Heading2"/>
      </w:pPr>
      <w:r>
        <w:t>Parties</w:t>
      </w:r>
    </w:p>
    <w:p>
      <w:r>
        <w:t>[Supervisee full name], registered social worker / student / practitioner (registration or student ID: [number]) — “the supervisee”.</w:t>
      </w:r>
    </w:p>
    <w:p>
      <w:r>
        <w:t>[Supervisor full name], [role and qualifications] — “the supervisor”.</w:t>
      </w:r>
    </w:p>
    <w:p>
      <w:r>
        <w:t>Where the supervisee's employer is paying for supervision, the employer is named here as a party for the limited purposes of clauses 3, 4 and 6: [organisation name].</w:t>
      </w:r>
    </w:p>
    <w:p>
      <w:pPr>
        <w:pStyle w:val="Heading2"/>
      </w:pPr>
      <w:r>
        <w:t>1. Purpose and scope</w:t>
      </w:r>
    </w:p>
    <w:p>
      <w:r>
        <w:t>Supervision is a structured, reflective and accountable professional relationship. Its purpose is to support safe, effective and ethical practice, to develop the supervisee's competence, and to protect the people the supervisee works with.</w:t>
      </w:r>
    </w:p>
    <w:p>
      <w:r>
        <w:t>This agreement covers supervision only. It does not create an employment relationship, and it does not replace line management, performance review, clinical governance or case consultation where those are separately required.</w:t>
      </w:r>
    </w:p>
    <w:p>
      <w:pPr>
        <w:pStyle w:val="Heading2"/>
      </w:pPr>
      <w:r>
        <w:t>2. Model and approach</w:t>
      </w:r>
    </w:p>
    <w:p>
      <w:r>
        <w:t>Supervision will use [model, e.g. reflective practice / strengths-based / integrative], adapted to the supervisee's practice context of [context].</w:t>
      </w:r>
    </w:p>
    <w:p>
      <w:r>
        <w:t>Sessions will address, in balance: the supervisee's wellbeing and sustainability; reflection on practice and decision-making; professional development; and accountability to clients, the profession and the employer.</w:t>
      </w:r>
    </w:p>
    <w:p>
      <w:r>
        <w:t>Where agreed, supervision will be culturally grounded. Describe how:</w:t>
      </w:r>
    </w:p>
    <w:p>
      <w:pPr>
        <w:pStyle w:val="ListBullet"/>
      </w:pPr>
      <w:r>
        <w:t>Cultural framework(s) informing practice: [e.g. Fa'a Samoa, Anga Faka-Tonga, Fonofale, talanoa]</w:t>
      </w:r>
    </w:p>
    <w:p>
      <w:pPr>
        <w:pStyle w:val="ListBullet"/>
      </w:pPr>
      <w:r>
        <w:t>How culture will be attended to in sessions: [e.g. talanoa, fa'afaletui, time for family and community obligations]</w:t>
      </w:r>
    </w:p>
    <w:p>
      <w:pPr>
        <w:pStyle w:val="ListBullet"/>
      </w:pPr>
      <w:r>
        <w:t>Language(s) available: [e.g. English, Samoan, Tongan]</w:t>
      </w:r>
    </w:p>
    <w:p>
      <w:pPr>
        <w:pStyle w:val="Heading2"/>
      </w:pPr>
      <w:r>
        <w:t>3. Frequency, duration and format</w:t>
      </w:r>
    </w:p>
    <w:p>
      <w:pPr>
        <w:pStyle w:val="ListNumber"/>
      </w:pPr>
      <w:r>
        <w:t>Sessions will be held [weekly / fortnightly / monthly] for [50 / 60] minutes.</w:t>
      </w:r>
    </w:p>
    <w:p>
      <w:pPr>
        <w:pStyle w:val="ListNumber"/>
      </w:pPr>
      <w:r>
        <w:t>Minimum number of sessions per year: [number], consistent with Social Workers Registration Board expectations for the supervisee's registration type.</w:t>
      </w:r>
    </w:p>
    <w:p>
      <w:pPr>
        <w:pStyle w:val="ListNumber"/>
      </w:pPr>
      <w:r>
        <w:t>Format: [in person at [location] / online by [platform] / a mix of both].</w:t>
      </w:r>
    </w:p>
    <w:p>
      <w:pPr>
        <w:pStyle w:val="ListNumber"/>
      </w:pPr>
      <w:r>
        <w:t>Rescheduling: at least [24 / 48] hours' notice. Sessions cancelled with less notice may be charged at the supervisor's discretion.</w:t>
      </w:r>
    </w:p>
    <w:p>
      <w:pPr>
        <w:pStyle w:val="ListNumber"/>
      </w:pPr>
      <w:r>
        <w:t>Additional contact between sessions: [e.g. brief phone or email contact for urgent practice questions, acknowledged within one business day].</w:t>
      </w:r>
    </w:p>
    <w:p>
      <w:pPr>
        <w:pStyle w:val="Heading2"/>
      </w:pPr>
      <w:r>
        <w:t>4. Fees, invoicing and payment</w:t>
      </w:r>
    </w:p>
    <w:p>
      <w:pPr>
        <w:pStyle w:val="ListNumber"/>
      </w:pPr>
      <w:r>
        <w:t>Fee: $[amount] per session (including GST where applicable), or $[amount] per hour.</w:t>
      </w:r>
    </w:p>
    <w:p>
      <w:pPr>
        <w:pStyle w:val="ListNumber"/>
      </w:pPr>
      <w:r>
        <w:t>Invoicing: [monthly / per session]. Payment is due within [20] days of invoice.</w:t>
      </w:r>
    </w:p>
    <w:p>
      <w:pPr>
        <w:pStyle w:val="ListNumber"/>
      </w:pPr>
      <w:r>
        <w:t>Invoices are issued to: [supervisee / employer name and email].</w:t>
      </w:r>
    </w:p>
    <w:p>
      <w:pPr>
        <w:pStyle w:val="ListNumber"/>
      </w:pPr>
      <w:r>
        <w:t>Non-attendance without notice may be invoiced in full. Fee reviews will be advised in writing at least [30] days in advance.</w:t>
      </w:r>
    </w:p>
    <w:p>
      <w:pPr>
        <w:pStyle w:val="Heading2"/>
      </w:pPr>
      <w:r>
        <w:t>5. Confidentiality and its limits</w:t>
      </w:r>
    </w:p>
    <w:p>
      <w:r>
        <w:t>What is discussed in supervision is confidential between the parties, subject to the limits below and to the Privacy Act 2020.</w:t>
      </w:r>
    </w:p>
    <w:p>
      <w:r>
        <w:t>Confidentiality is limited where the supervisor reasonably believes that:</w:t>
      </w:r>
    </w:p>
    <w:p>
      <w:pPr>
        <w:pStyle w:val="ListBullet"/>
      </w:pPr>
      <w:r>
        <w:t>a child or young person is at risk of harm, including under Oranga Tamariki legislation and the Children's Act 2014;</w:t>
      </w:r>
    </w:p>
    <w:p>
      <w:pPr>
        <w:pStyle w:val="ListBullet"/>
      </w:pPr>
      <w:r>
        <w:t>the supervisee or another person is at risk of serious harm, including risk of suicide or serious violence;</w:t>
      </w:r>
    </w:p>
    <w:p>
      <w:pPr>
        <w:pStyle w:val="ListBullet"/>
      </w:pPr>
      <w:r>
        <w:t>there is a risk to the public arising from the supervisee's practice;</w:t>
      </w:r>
    </w:p>
    <w:p>
      <w:pPr>
        <w:pStyle w:val="ListBullet"/>
      </w:pPr>
      <w:r>
        <w:t>disclosure is required by law, by a court, or by a statutory or regulatory body;</w:t>
      </w:r>
    </w:p>
    <w:p>
      <w:pPr>
        <w:pStyle w:val="ListBullet"/>
      </w:pPr>
      <w:r>
        <w:t>the supervisor is required to report under their own professional obligations.</w:t>
      </w:r>
    </w:p>
    <w:p>
      <w:r>
        <w:t>Where possible, the supervisor will discuss the concern with the supervisee before disclosing, and will disclose only the information necessary.</w:t>
      </w:r>
    </w:p>
    <w:p>
      <w:r>
        <w:t>Reporting to the employer: [not applicable / a written summary of themes only, with no client-identifying detail / other: [describe]].</w:t>
      </w:r>
    </w:p>
    <w:p>
      <w:r>
        <w:t>Reporting to the Social Workers Registration Board or another regulator: as required by law or by the Board's requirements.</w:t>
      </w:r>
    </w:p>
    <w:p>
      <w:pPr>
        <w:pStyle w:val="Heading2"/>
      </w:pPr>
      <w:r>
        <w:t>6. Record keeping</w:t>
      </w:r>
    </w:p>
    <w:p>
      <w:pPr>
        <w:pStyle w:val="ListNumber"/>
      </w:pPr>
      <w:r>
        <w:t>The supervisor keeps brief records of each session: date, duration, attendance, themes discussed and any actions agreed. Client-identifying detail is kept to the minimum necessary.</w:t>
      </w:r>
    </w:p>
    <w:p>
      <w:pPr>
        <w:pStyle w:val="ListNumber"/>
      </w:pPr>
      <w:r>
        <w:t>Records belong to: [supervisor / employer], and are held securely for at least [7] years, then securely destroyed.</w:t>
      </w:r>
    </w:p>
    <w:p>
      <w:pPr>
        <w:pStyle w:val="ListNumber"/>
      </w:pPr>
      <w:r>
        <w:t>The supervisee may request a copy of their own supervision record. Where a third party is named, that information may be withheld.</w:t>
      </w:r>
    </w:p>
    <w:p>
      <w:pPr>
        <w:pStyle w:val="ListNumber"/>
      </w:pPr>
      <w:r>
        <w:t>Supervision records are not client records and do not replace them.</w:t>
      </w:r>
    </w:p>
    <w:p>
      <w:pPr>
        <w:pStyle w:val="Heading2"/>
      </w:pPr>
      <w:r>
        <w:t>7. Duties of the parties</w:t>
      </w:r>
    </w:p>
    <w:p>
      <w:r>
        <w:t>The supervisor will:</w:t>
      </w:r>
    </w:p>
    <w:p>
      <w:pPr>
        <w:pStyle w:val="ListBullet"/>
      </w:pPr>
      <w:r>
        <w:t>prepare for and hold sessions as agreed, and be punctual;</w:t>
      </w:r>
    </w:p>
    <w:p>
      <w:pPr>
        <w:pStyle w:val="ListBullet"/>
      </w:pPr>
      <w:r>
        <w:t>maintain professional competence, supervision of their own practice, and professional indemnity insurance;</w:t>
      </w:r>
    </w:p>
    <w:p>
      <w:pPr>
        <w:pStyle w:val="ListBullet"/>
      </w:pPr>
      <w:r>
        <w:t>raise concerns about practice, safety or wellbeing promptly and directly;</w:t>
      </w:r>
    </w:p>
    <w:p>
      <w:pPr>
        <w:pStyle w:val="ListBullet"/>
      </w:pPr>
      <w:r>
        <w:t>declare any conflict of interest, including dual relationships, and manage it openly.</w:t>
      </w:r>
    </w:p>
    <w:p>
      <w:r>
        <w:t>The supervisee will:</w:t>
      </w:r>
    </w:p>
    <w:p>
      <w:pPr>
        <w:pStyle w:val="ListBullet"/>
      </w:pPr>
      <w:r>
        <w:t>bring practice material honestly, including mistakes and dilemmas;</w:t>
      </w:r>
    </w:p>
    <w:p>
      <w:pPr>
        <w:pStyle w:val="ListBullet"/>
      </w:pPr>
      <w:r>
        <w:t>prepare for sessions and complete agreed actions;</w:t>
      </w:r>
    </w:p>
    <w:p>
      <w:pPr>
        <w:pStyle w:val="ListBullet"/>
      </w:pPr>
      <w:r>
        <w:t>declare any other supervision arrangement and any regulatory condition;</w:t>
      </w:r>
    </w:p>
    <w:p>
      <w:pPr>
        <w:pStyle w:val="ListBullet"/>
      </w:pPr>
      <w:r>
        <w:t>comply with their professional code of conduct and their employer's policies.</w:t>
      </w:r>
    </w:p>
    <w:p>
      <w:pPr>
        <w:pStyle w:val="Heading2"/>
      </w:pPr>
      <w:r>
        <w:t>8. Review</w:t>
      </w:r>
    </w:p>
    <w:p>
      <w:pPr>
        <w:pStyle w:val="ListNumber"/>
      </w:pPr>
      <w:r>
        <w:t>This agreement is reviewed [every six months / annually] and whenever the supervisee's role, employer or registration status changes.</w:t>
      </w:r>
    </w:p>
    <w:p>
      <w:pPr>
        <w:pStyle w:val="ListNumber"/>
      </w:pPr>
      <w:r>
        <w:t>The review considers: whether the arrangement is still useful; the balance of support, reflection and accountability; cultural fit; and fees.</w:t>
      </w:r>
    </w:p>
    <w:p>
      <w:pPr>
        <w:pStyle w:val="ListNumber"/>
      </w:pPr>
      <w:r>
        <w:t>Changes are recorded in writing and signed by both parties.</w:t>
      </w:r>
    </w:p>
    <w:p>
      <w:pPr>
        <w:pStyle w:val="Heading2"/>
      </w:pPr>
      <w:r>
        <w:t>9. Concerns, complaints and termination</w:t>
      </w:r>
    </w:p>
    <w:p>
      <w:pPr>
        <w:pStyle w:val="ListNumber"/>
      </w:pPr>
      <w:r>
        <w:t>Concerns about supervision should first be raised directly, in a session if possible.</w:t>
      </w:r>
    </w:p>
    <w:p>
      <w:pPr>
        <w:pStyle w:val="ListNumber"/>
      </w:pPr>
      <w:r>
        <w:t>If unresolved, escalate to: [professional body / employer clinical lead / mediation service].</w:t>
      </w:r>
    </w:p>
    <w:p>
      <w:pPr>
        <w:pStyle w:val="ListNumber"/>
      </w:pPr>
      <w:r>
        <w:t>Either party may end this agreement with [30] days' written notice. Where a client safety concern exists, the supervisor may end the agreement immediately and must inform [the employer / the relevant regulator].</w:t>
      </w:r>
    </w:p>
    <w:p>
      <w:pPr>
        <w:pStyle w:val="Heading2"/>
      </w:pPr>
      <w:r>
        <w:t>10. Signatures</w:t>
      </w:r>
    </w:p>
    <w:p>
      <w:r>
        <w:t>By signing, both parties confirm they have read and agree to this agreement.</w:t>
      </w:r>
    </w:p>
    <w:p>
      <w:pPr>
        <w:spacing w:before="360"/>
      </w:pPr>
      <w:r>
        <w:rPr>
          <w:color w:val="5C6F71"/>
        </w:rPr>
        <w:t>______________________________________</w:t>
      </w:r>
    </w:p>
    <w:p>
      <w:r>
        <w:rPr>
          <w:color w:val="5C6F71"/>
          <w:sz w:val="19"/>
        </w:rPr>
        <w:t>Supervisee — name, signature, date</w:t>
      </w:r>
    </w:p>
    <w:p>
      <w:pPr>
        <w:spacing w:before="360"/>
      </w:pPr>
      <w:r>
        <w:rPr>
          <w:color w:val="5C6F71"/>
        </w:rPr>
        <w:t>______________________________________</w:t>
      </w:r>
    </w:p>
    <w:p>
      <w:r>
        <w:rPr>
          <w:color w:val="5C6F71"/>
          <w:sz w:val="19"/>
        </w:rPr>
        <w:t>Supervisor — name, signature, date</w:t>
      </w:r>
    </w:p>
    <w:p>
      <w:pPr>
        <w:spacing w:before="360"/>
      </w:pPr>
      <w:r>
        <w:rPr>
          <w:color w:val="5C6F71"/>
        </w:rPr>
        <w:t>______________________________________</w:t>
      </w:r>
    </w:p>
    <w:p>
      <w:r>
        <w:rPr>
          <w:color w:val="5C6F71"/>
          <w:sz w:val="19"/>
        </w:rPr>
        <w:t>Employer representative (where applicable) — name, signature, date</w:t>
      </w:r>
    </w:p>
    <w:p>
      <w:r>
        <w:br w:type="page"/>
      </w:r>
    </w:p>
    <w:p>
      <w:pPr>
        <w:pStyle w:val="Heading1"/>
      </w:pPr>
      <w:r>
        <w:t>Notes: what good supervision needs</w:t>
      </w:r>
    </w:p>
    <w:p>
      <w:r>
        <w:rPr>
          <w:color w:val="5C6F71"/>
          <w:sz w:val="19"/>
        </w:rPr>
        <w:t>Four things that make the difference between supervision that protects people and supervision that is a diary entry.</w:t>
      </w:r>
    </w:p>
    <w:p>
      <w:pPr>
        <w:pStyle w:val="Heading3"/>
      </w:pPr>
      <w:r>
        <w:t>Say the hard thing early</w:t>
      </w:r>
    </w:p>
    <w:p>
      <w:r>
        <w:t>The most common failure in supervision is not conflict — it is silence about a worry that everyone can see. Agree, in advance, how the supervisor will raise a practice concern and how the supervisee will raise a concern about supervision.</w:t>
      </w:r>
    </w:p>
    <w:p>
      <w:pPr>
        <w:pStyle w:val="Heading3"/>
      </w:pPr>
      <w:r>
        <w:t>Be specific about confidentiality</w:t>
      </w:r>
    </w:p>
    <w:p>
      <w:r>
        <w:t>“Everything is confidential” is not a safe clause. State the limits, say who is told what, and revisit it when circumstances change.</w:t>
      </w:r>
    </w:p>
    <w:p>
      <w:pPr>
        <w:pStyle w:val="Heading3"/>
      </w:pPr>
      <w:r>
        <w:t>Make the cultural frame explicit</w:t>
      </w:r>
    </w:p>
    <w:p>
      <w:r>
        <w:t>If supervision is to be grounded in a Pasifika framework, write down what that means in practice: how sessions open and close, how family and church obligations are accounted for, and what language is used. Otherwise the cultural dimension quietly disappears under caseload pressure.</w:t>
      </w:r>
    </w:p>
    <w:p>
      <w:pPr>
        <w:pStyle w:val="Heading3"/>
      </w:pPr>
      <w:r>
        <w:t>Review before it is needed</w:t>
      </w:r>
    </w:p>
    <w:p>
      <w:r>
        <w:t>A six-month review catches a drifting arrangement while it is still easy to fix.</w:t>
      </w:r>
    </w:p>
    <w:sectPr w:rsidR="00FC693F" w:rsidRPr="0006063C" w:rsidSect="00034616">
      <w:footerReference w:type="default" r:id="rId9"/>
      <w:pgSz w:w="12240" w:h="15840"/>
      <w:pgMar w:top="1247" w:right="1361" w:bottom="1134" w:left="1361"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footer1.xml><?xml version="1.0" encoding="utf-8"?>
<w:ft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Footer"/>
      <w:jc w:val="center"/>
    </w:pPr>
    <w:r>
      <w:rPr>
        <w:color w:val="5C6F71"/>
        <w:sz w:val="16"/>
      </w:rPr>
      <w:t>Supervision Agreement Template · Weave Family Solutions · weavefamilysolutions.com</w:t>
    </w:r>
  </w:p>
</w:ft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after="120" w:line="276" w:lineRule="auto"/>
    </w:pPr>
    <w:rPr>
      <w:rFonts w:ascii="Calibri" w:hAnsi="Calibri"/>
      <w:sz w:val="21"/>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280" w:after="100"/>
      <w:outlineLvl w:val="0"/>
    </w:pPr>
    <w:rPr>
      <w:rFonts w:asciiTheme="majorHAnsi" w:eastAsiaTheme="majorEastAsia" w:hAnsiTheme="majorHAnsi" w:cstheme="majorBidi" w:ascii="Georgia" w:hAnsi="Georgia"/>
      <w:b/>
      <w:bCs/>
      <w:color w:val="08272B"/>
      <w:sz w:val="34"/>
      <w:szCs w:val="28"/>
    </w:rPr>
  </w:style>
  <w:style w:type="paragraph" w:styleId="Heading2">
    <w:name w:val="heading 2"/>
    <w:basedOn w:val="Normal"/>
    <w:next w:val="Normal"/>
    <w:link w:val="Heading2Char"/>
    <w:uiPriority w:val="9"/>
    <w:unhideWhenUsed/>
    <w:qFormat/>
    <w:rsid w:val="00FC693F"/>
    <w:pPr>
      <w:keepNext/>
      <w:keepLines/>
      <w:spacing w:before="280" w:after="100"/>
      <w:outlineLvl w:val="1"/>
    </w:pPr>
    <w:rPr>
      <w:rFonts w:asciiTheme="majorHAnsi" w:eastAsiaTheme="majorEastAsia" w:hAnsiTheme="majorHAnsi" w:cstheme="majorBidi" w:ascii="Georgia" w:hAnsi="Georgia"/>
      <w:b/>
      <w:bCs/>
      <w:color w:val="08272B"/>
      <w:sz w:val="25"/>
      <w:szCs w:val="26"/>
    </w:rPr>
  </w:style>
  <w:style w:type="paragraph" w:styleId="Heading3">
    <w:name w:val="heading 3"/>
    <w:basedOn w:val="Normal"/>
    <w:next w:val="Normal"/>
    <w:link w:val="Heading3Char"/>
    <w:uiPriority w:val="9"/>
    <w:unhideWhenUsed/>
    <w:qFormat/>
    <w:rsid w:val="00FC693F"/>
    <w:pPr>
      <w:keepNext/>
      <w:keepLines/>
      <w:spacing w:before="280" w:after="100"/>
      <w:outlineLvl w:val="2"/>
    </w:pPr>
    <w:rPr>
      <w:rFonts w:asciiTheme="majorHAnsi" w:eastAsiaTheme="majorEastAsia" w:hAnsiTheme="majorHAnsi" w:cstheme="majorBidi" w:ascii="Georgia" w:hAnsi="Georgia"/>
      <w:b/>
      <w:bCs/>
      <w:color w:val="08272B"/>
      <w:sz w:val="22"/>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